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spacing w:before="100" w:after="0" w:line="360" w:lineRule="auto"/>
        <w:jc w:val="both"/>
        <w:rPr>
          <w:rFonts w:ascii="Times New Roman" w:hAnsi="Times New Roman" w:eastAsia="宋体" w:cs="Times New Roman"/>
          <w:kern w:val="2"/>
          <w:sz w:val="28"/>
        </w:rPr>
      </w:pPr>
      <w:bookmarkStart w:id="0" w:name="_Toc25670"/>
      <w:r>
        <w:rPr>
          <w:rFonts w:ascii="Times New Roman" w:hAnsi="Times New Roman" w:eastAsia="宋体" w:cs="Times New Roman"/>
          <w:kern w:val="2"/>
          <w:sz w:val="28"/>
        </w:rPr>
        <w:t>附件</w:t>
      </w:r>
      <w:r>
        <w:rPr>
          <w:rFonts w:hint="eastAsia" w:ascii="Times New Roman" w:hAnsi="Times New Roman" w:eastAsia="宋体" w:cs="Times New Roman"/>
          <w:kern w:val="2"/>
          <w:sz w:val="28"/>
        </w:rPr>
        <w:t>1</w:t>
      </w:r>
      <w:r>
        <w:rPr>
          <w:rFonts w:ascii="Times New Roman" w:hAnsi="Times New Roman" w:eastAsia="宋体" w:cs="Times New Roman"/>
          <w:kern w:val="2"/>
          <w:sz w:val="28"/>
        </w:rPr>
        <w:t>：</w:t>
      </w:r>
      <w:r>
        <w:rPr>
          <w:rFonts w:hint="eastAsia" w:ascii="Times New Roman" w:hAnsi="Times New Roman" w:eastAsia="宋体" w:cs="Times New Roman"/>
          <w:kern w:val="2"/>
          <w:sz w:val="28"/>
        </w:rPr>
        <w:t>招标公告附表</w:t>
      </w:r>
      <w:bookmarkEnd w:id="0"/>
    </w:p>
    <w:tbl>
      <w:tblPr>
        <w:tblStyle w:val="11"/>
        <w:tblW w:w="15240" w:type="dxa"/>
        <w:tblInd w:w="0" w:type="dxa"/>
        <w:tblLayout w:type="fixed"/>
        <w:tblCellMar>
          <w:top w:w="0" w:type="dxa"/>
          <w:left w:w="108" w:type="dxa"/>
          <w:bottom w:w="0" w:type="dxa"/>
          <w:right w:w="108" w:type="dxa"/>
        </w:tblCellMar>
      </w:tblPr>
      <w:tblGrid>
        <w:gridCol w:w="502"/>
        <w:gridCol w:w="886"/>
        <w:gridCol w:w="1326"/>
        <w:gridCol w:w="1238"/>
        <w:gridCol w:w="709"/>
        <w:gridCol w:w="689"/>
        <w:gridCol w:w="641"/>
        <w:gridCol w:w="4159"/>
        <w:gridCol w:w="1404"/>
        <w:gridCol w:w="859"/>
        <w:gridCol w:w="1177"/>
        <w:gridCol w:w="952"/>
        <w:gridCol w:w="698"/>
      </w:tblGrid>
      <w:tr>
        <w:tblPrEx>
          <w:tblCellMar>
            <w:top w:w="0" w:type="dxa"/>
            <w:left w:w="108" w:type="dxa"/>
            <w:bottom w:w="0" w:type="dxa"/>
            <w:right w:w="108" w:type="dxa"/>
          </w:tblCellMar>
        </w:tblPrEx>
        <w:trPr>
          <w:trHeight w:val="312" w:hRule="atLeast"/>
          <w:tblHeader/>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序号</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包件号</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包件名称</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物资设备名称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规格型号</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计量单位</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需求数量</w:t>
            </w:r>
          </w:p>
        </w:tc>
        <w:tc>
          <w:tcPr>
            <w:tcW w:w="4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资格条件</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交货</w:t>
            </w: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时间</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交货</w:t>
            </w: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地点</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交货状态及条件</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收货</w:t>
            </w: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单位</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备注</w:t>
            </w:r>
          </w:p>
        </w:tc>
      </w:tr>
      <w:tr>
        <w:tblPrEx>
          <w:tblCellMar>
            <w:top w:w="0" w:type="dxa"/>
            <w:left w:w="108" w:type="dxa"/>
            <w:bottom w:w="0" w:type="dxa"/>
            <w:right w:w="108" w:type="dxa"/>
          </w:tblCellMar>
        </w:tblPrEx>
        <w:trPr>
          <w:trHeight w:val="755" w:hRule="atLeast"/>
          <w:tblHeader/>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50" w:hRule="atLeast"/>
        </w:trPr>
        <w:tc>
          <w:tcPr>
            <w:tcW w:w="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8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DC11</w:t>
            </w:r>
          </w:p>
        </w:tc>
        <w:tc>
          <w:tcPr>
            <w:tcW w:w="13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2"/>
                <w:szCs w:val="22"/>
                <w:highlight w:val="none"/>
              </w:rPr>
            </w:pPr>
            <w:r>
              <w:rPr>
                <w:rFonts w:hint="eastAsia" w:ascii="宋体" w:hAnsi="宋体" w:cs="宋体"/>
                <w:color w:val="auto"/>
                <w:sz w:val="21"/>
                <w:szCs w:val="24"/>
                <w:highlight w:val="none"/>
              </w:rPr>
              <w:t>一级修综合检测系统</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 w:val="22"/>
                <w:szCs w:val="22"/>
                <w:highlight w:val="none"/>
              </w:rPr>
            </w:pPr>
            <w:r>
              <w:rPr>
                <w:rFonts w:hint="eastAsia" w:ascii="宋体" w:hAnsi="宋体" w:cs="宋体"/>
                <w:color w:val="auto"/>
                <w:sz w:val="21"/>
                <w:szCs w:val="24"/>
                <w:highlight w:val="none"/>
              </w:rPr>
              <w:t>一级修综合检测系统</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2"/>
                <w:szCs w:val="22"/>
                <w:highlight w:val="none"/>
              </w:rPr>
            </w:pP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auto"/>
                <w:sz w:val="21"/>
                <w:szCs w:val="24"/>
                <w:highlight w:val="none"/>
              </w:rPr>
            </w:pPr>
            <w:r>
              <w:rPr>
                <w:rFonts w:hint="eastAsia" w:ascii="宋体" w:hAnsi="宋体" w:cs="宋体"/>
                <w:color w:val="auto"/>
                <w:kern w:val="0"/>
                <w:sz w:val="21"/>
                <w:szCs w:val="24"/>
                <w:highlight w:val="none"/>
                <w:lang w:bidi="ar"/>
              </w:rPr>
              <w:t>套</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auto"/>
                <w:sz w:val="21"/>
                <w:szCs w:val="24"/>
                <w:highlight w:val="none"/>
              </w:rPr>
            </w:pPr>
            <w:r>
              <w:rPr>
                <w:rFonts w:hint="eastAsia" w:ascii="宋体" w:hAnsi="宋体" w:cs="宋体"/>
                <w:color w:val="auto"/>
                <w:kern w:val="0"/>
                <w:sz w:val="21"/>
                <w:szCs w:val="24"/>
                <w:highlight w:val="none"/>
                <w:lang w:bidi="ar"/>
              </w:rPr>
              <w:t>1</w:t>
            </w:r>
          </w:p>
        </w:tc>
        <w:tc>
          <w:tcPr>
            <w:tcW w:w="41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1.在中华人民共和国境内依法注册，具有独立法人资格的生产商。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2.投标人应提供近三年（2021年-2023年）内任意一年经会计师事务所或审计机构审计的财务会计报表。</w:t>
            </w:r>
          </w:p>
          <w:p>
            <w:pPr>
              <w:widowControl/>
              <w:spacing w:line="240" w:lineRule="auto"/>
              <w:jc w:val="left"/>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bidi="ar"/>
              </w:rPr>
              <w:t>3.</w:t>
            </w:r>
            <w:r>
              <w:rPr>
                <w:rFonts w:hint="eastAsia" w:ascii="宋体" w:hAnsi="宋体" w:eastAsia="宋体" w:cs="宋体"/>
                <w:color w:val="auto"/>
                <w:sz w:val="21"/>
                <w:szCs w:val="21"/>
                <w:highlight w:val="none"/>
                <w:lang w:bidi="ar"/>
              </w:rPr>
              <w:t>投标人须具有近5年（2019年</w:t>
            </w:r>
            <w:r>
              <w:rPr>
                <w:rFonts w:hint="eastAsia" w:ascii="宋体" w:hAnsi="宋体" w:cs="宋体"/>
                <w:color w:val="auto"/>
                <w:sz w:val="21"/>
                <w:szCs w:val="21"/>
                <w:highlight w:val="none"/>
                <w:lang w:val="en-US" w:eastAsia="zh-CN" w:bidi="ar"/>
              </w:rPr>
              <w:t>7</w:t>
            </w:r>
            <w:r>
              <w:rPr>
                <w:rFonts w:hint="eastAsia" w:ascii="宋体" w:hAnsi="宋体" w:eastAsia="宋体" w:cs="宋体"/>
                <w:color w:val="auto"/>
                <w:sz w:val="21"/>
                <w:szCs w:val="21"/>
                <w:highlight w:val="none"/>
                <w:lang w:bidi="ar"/>
              </w:rPr>
              <w:t>月至投标截止日，以物资采购合同签订时间为准）铁路供货业绩（业绩须涵盖车轮几何尺寸检测单元、踏面探伤检测单元；可以两个合同涵盖），并提供相应的中标通知书、合同协议书、设备进场验收证书（或验收文件等）或用户使用证明</w:t>
            </w:r>
            <w:r>
              <w:rPr>
                <w:rFonts w:hint="eastAsia" w:ascii="宋体" w:hAnsi="宋体" w:cs="宋体"/>
                <w:color w:val="auto"/>
                <w:sz w:val="21"/>
                <w:szCs w:val="21"/>
                <w:highlight w:val="none"/>
                <w:lang w:eastAsia="zh-CN" w:bidi="ar"/>
              </w:rPr>
              <w:t>。</w:t>
            </w:r>
          </w:p>
        </w:tc>
        <w:tc>
          <w:tcPr>
            <w:tcW w:w="14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2024年12月</w:t>
            </w: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至工程结束</w:t>
            </w:r>
          </w:p>
        </w:tc>
        <w:tc>
          <w:tcPr>
            <w:tcW w:w="8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雄安动车所</w:t>
            </w:r>
          </w:p>
        </w:tc>
        <w:tc>
          <w:tcPr>
            <w:tcW w:w="1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货物完好，车板交货</w:t>
            </w:r>
          </w:p>
        </w:tc>
        <w:tc>
          <w:tcPr>
            <w:tcW w:w="9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中铁六局雄安枢纽站前工程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项目部</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850"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cs="宋体"/>
                <w:color w:val="auto"/>
                <w:szCs w:val="21"/>
                <w:highlight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852" w:hRule="atLeast"/>
        </w:trPr>
        <w:tc>
          <w:tcPr>
            <w:tcW w:w="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8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3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41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rPr>
                <w:rFonts w:ascii="宋体" w:hAnsi="宋体" w:cs="宋体"/>
                <w:color w:val="auto"/>
                <w:szCs w:val="21"/>
                <w:highlight w:val="none"/>
              </w:rPr>
            </w:pPr>
          </w:p>
        </w:tc>
        <w:tc>
          <w:tcPr>
            <w:tcW w:w="14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1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9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852"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DC12</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2"/>
                <w:szCs w:val="22"/>
                <w:highlight w:val="none"/>
              </w:rPr>
            </w:pPr>
            <w:r>
              <w:rPr>
                <w:rFonts w:hint="eastAsia" w:ascii="宋体" w:hAnsi="宋体" w:cs="宋体"/>
                <w:color w:val="auto"/>
                <w:sz w:val="21"/>
                <w:szCs w:val="24"/>
                <w:highlight w:val="none"/>
              </w:rPr>
              <w:t>动车组车底检测机器人系统</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2"/>
                <w:szCs w:val="22"/>
                <w:highlight w:val="none"/>
              </w:rPr>
            </w:pPr>
            <w:r>
              <w:rPr>
                <w:rFonts w:hint="eastAsia" w:ascii="宋体" w:hAnsi="宋体" w:cs="宋体"/>
                <w:color w:val="auto"/>
                <w:sz w:val="21"/>
                <w:szCs w:val="24"/>
                <w:highlight w:val="none"/>
              </w:rPr>
              <w:t>动车组车底检测机器人系统</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2"/>
                <w:szCs w:val="22"/>
                <w:highlight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auto"/>
                <w:sz w:val="21"/>
                <w:szCs w:val="24"/>
                <w:highlight w:val="none"/>
              </w:rPr>
            </w:pPr>
            <w:r>
              <w:rPr>
                <w:rFonts w:hint="eastAsia" w:ascii="宋体" w:hAnsi="宋体" w:cs="宋体"/>
                <w:color w:val="auto"/>
                <w:kern w:val="0"/>
                <w:sz w:val="21"/>
                <w:szCs w:val="24"/>
                <w:highlight w:val="none"/>
                <w:lang w:bidi="ar"/>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auto"/>
                <w:sz w:val="21"/>
                <w:szCs w:val="24"/>
                <w:highlight w:val="none"/>
              </w:rPr>
            </w:pPr>
            <w:r>
              <w:rPr>
                <w:rFonts w:hint="eastAsia" w:ascii="宋体" w:hAnsi="宋体" w:cs="宋体"/>
                <w:color w:val="auto"/>
                <w:kern w:val="0"/>
                <w:sz w:val="21"/>
                <w:szCs w:val="24"/>
                <w:highlight w:val="none"/>
                <w:lang w:bidi="ar"/>
              </w:rPr>
              <w:t>2</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1.在中华人民共和国境内依法注册，具有独立法人资格的生产商。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2.投标人应提供近三年（2021年-2023年）内任意一年经会计师事务所或审计机构审计的财务会计报表。</w:t>
            </w:r>
          </w:p>
          <w:p>
            <w:pPr>
              <w:widowControl/>
              <w:spacing w:line="24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3.动车组车底检测机器人系统须具有近5年（2019年</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月至</w:t>
            </w:r>
            <w:r>
              <w:rPr>
                <w:rFonts w:hint="eastAsia"/>
                <w:color w:val="auto"/>
                <w:highlight w:val="none"/>
              </w:rPr>
              <w:t>投标截止日</w:t>
            </w:r>
            <w:r>
              <w:rPr>
                <w:rFonts w:hint="eastAsia" w:ascii="宋体" w:hAnsi="宋体" w:cs="宋体"/>
                <w:color w:val="auto"/>
                <w:kern w:val="0"/>
                <w:szCs w:val="21"/>
                <w:highlight w:val="none"/>
                <w:lang w:bidi="ar"/>
              </w:rPr>
              <w:t>，</w:t>
            </w:r>
            <w:r>
              <w:rPr>
                <w:rFonts w:hint="eastAsia"/>
                <w:color w:val="auto"/>
                <w:highlight w:val="none"/>
              </w:rPr>
              <w:t>以物资采购合同签订时间为准</w:t>
            </w:r>
            <w:r>
              <w:rPr>
                <w:rFonts w:hint="eastAsia" w:ascii="宋体" w:hAnsi="宋体" w:cs="宋体"/>
                <w:color w:val="auto"/>
                <w:kern w:val="0"/>
                <w:szCs w:val="21"/>
                <w:highlight w:val="none"/>
                <w:lang w:bidi="ar"/>
              </w:rPr>
              <w:t>）铁路供货业绩，</w:t>
            </w:r>
            <w:r>
              <w:rPr>
                <w:rFonts w:hint="eastAsia" w:ascii="宋体" w:hAnsi="宋体" w:eastAsia="宋体" w:cs="宋体"/>
                <w:color w:val="auto"/>
                <w:sz w:val="21"/>
                <w:szCs w:val="21"/>
                <w:highlight w:val="none"/>
                <w:lang w:bidi="ar"/>
              </w:rPr>
              <w:t>并提供相应的中标通知书、合同协议书、设备进场验收证书（或验收文件等）或用户使用证明</w:t>
            </w:r>
            <w:r>
              <w:rPr>
                <w:rFonts w:ascii="宋体" w:hAnsi="宋体" w:cs="宋体"/>
                <w:color w:val="auto"/>
                <w:sz w:val="21"/>
                <w:szCs w:val="21"/>
                <w:highlight w:val="none"/>
                <w:lang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2024年12月</w:t>
            </w: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至工程结束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雄安动车所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货物完好，车板交货</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中铁六局雄安枢纽站前工程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项目部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3852" w:hRule="atLeast"/>
        </w:trPr>
        <w:tc>
          <w:tcPr>
            <w:tcW w:w="5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2"/>
                <w:szCs w:val="22"/>
                <w:highlight w:val="none"/>
              </w:rPr>
            </w:pPr>
            <w:r>
              <w:rPr>
                <w:rFonts w:hint="eastAsia" w:ascii="宋体" w:hAnsi="宋体" w:cs="宋体"/>
                <w:color w:val="auto"/>
                <w:sz w:val="22"/>
                <w:szCs w:val="22"/>
                <w:highlight w:val="none"/>
              </w:rPr>
              <w:t>DC13</w:t>
            </w:r>
          </w:p>
        </w:tc>
        <w:tc>
          <w:tcPr>
            <w:tcW w:w="13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1"/>
                <w:szCs w:val="24"/>
                <w:highlight w:val="none"/>
              </w:rPr>
            </w:pPr>
            <w:r>
              <w:rPr>
                <w:rFonts w:hint="eastAsia" w:ascii="宋体" w:hAnsi="宋体" w:cs="宋体"/>
                <w:color w:val="auto"/>
                <w:sz w:val="21"/>
                <w:szCs w:val="24"/>
                <w:highlight w:val="none"/>
              </w:rPr>
              <w:t>真空卸污设备</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1"/>
                <w:szCs w:val="24"/>
                <w:highlight w:val="none"/>
              </w:rPr>
            </w:pPr>
            <w:r>
              <w:rPr>
                <w:rFonts w:hint="eastAsia" w:ascii="宋体" w:hAnsi="宋体" w:cs="宋体"/>
                <w:color w:val="auto"/>
                <w:sz w:val="21"/>
                <w:szCs w:val="24"/>
                <w:highlight w:val="none"/>
              </w:rPr>
              <w:t>真空卸污设备</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 w:val="22"/>
                <w:szCs w:val="22"/>
                <w:highlight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auto"/>
                <w:kern w:val="0"/>
                <w:sz w:val="21"/>
                <w:szCs w:val="24"/>
                <w:highlight w:val="none"/>
                <w:lang w:bidi="ar"/>
              </w:rPr>
            </w:pPr>
            <w:r>
              <w:rPr>
                <w:rFonts w:hint="eastAsia" w:ascii="宋体" w:hAnsi="宋体" w:cs="宋体"/>
                <w:color w:val="auto"/>
                <w:sz w:val="21"/>
                <w:szCs w:val="24"/>
                <w:highlight w:val="none"/>
              </w:rPr>
              <w:t>套</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0" w:lineRule="atLeast"/>
              <w:jc w:val="center"/>
              <w:textAlignment w:val="center"/>
              <w:rPr>
                <w:rFonts w:ascii="宋体" w:hAnsi="宋体" w:cs="宋体"/>
                <w:color w:val="auto"/>
                <w:kern w:val="0"/>
                <w:sz w:val="21"/>
                <w:szCs w:val="24"/>
                <w:highlight w:val="none"/>
                <w:lang w:bidi="ar"/>
              </w:rPr>
            </w:pPr>
            <w:r>
              <w:rPr>
                <w:rFonts w:hint="eastAsia" w:ascii="宋体" w:hAnsi="宋体" w:cs="宋体"/>
                <w:color w:val="auto"/>
                <w:sz w:val="21"/>
                <w:szCs w:val="24"/>
                <w:highlight w:val="none"/>
              </w:rPr>
              <w:t>1</w:t>
            </w:r>
          </w:p>
        </w:tc>
        <w:tc>
          <w:tcPr>
            <w:tcW w:w="41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1.在中华人民共和国境内依法注册，具有独立法人资格的生产商。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2.投标人应提供近三年（2021年-2023年）内任意一年经会计师事务所或审计机构审计的财务会计报表。</w:t>
            </w:r>
          </w:p>
          <w:p>
            <w:pPr>
              <w:widowControl/>
              <w:spacing w:line="24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3.真空卸污设备须具有近5年（2019年</w:t>
            </w:r>
            <w:r>
              <w:rPr>
                <w:rFonts w:hint="eastAsia" w:ascii="宋体" w:hAnsi="宋体" w:cs="宋体"/>
                <w:color w:val="auto"/>
                <w:kern w:val="0"/>
                <w:szCs w:val="21"/>
                <w:highlight w:val="none"/>
                <w:lang w:val="en-US" w:eastAsia="zh-CN" w:bidi="ar"/>
              </w:rPr>
              <w:t>7</w:t>
            </w:r>
            <w:r>
              <w:rPr>
                <w:rFonts w:hint="eastAsia" w:ascii="宋体" w:hAnsi="宋体" w:cs="宋体"/>
                <w:color w:val="auto"/>
                <w:kern w:val="0"/>
                <w:szCs w:val="21"/>
                <w:highlight w:val="none"/>
                <w:lang w:bidi="ar"/>
              </w:rPr>
              <w:t>月至</w:t>
            </w:r>
            <w:r>
              <w:rPr>
                <w:rFonts w:hint="eastAsia"/>
                <w:color w:val="auto"/>
                <w:highlight w:val="none"/>
              </w:rPr>
              <w:t>投标截止日</w:t>
            </w:r>
            <w:r>
              <w:rPr>
                <w:rFonts w:hint="eastAsia" w:ascii="宋体" w:hAnsi="宋体" w:cs="宋体"/>
                <w:color w:val="auto"/>
                <w:kern w:val="0"/>
                <w:szCs w:val="21"/>
                <w:highlight w:val="none"/>
                <w:lang w:bidi="ar"/>
              </w:rPr>
              <w:t>，</w:t>
            </w:r>
            <w:r>
              <w:rPr>
                <w:rFonts w:hint="eastAsia"/>
                <w:color w:val="auto"/>
                <w:highlight w:val="none"/>
              </w:rPr>
              <w:t>以物资采购合同签订时间为准</w:t>
            </w:r>
            <w:r>
              <w:rPr>
                <w:rFonts w:hint="eastAsia" w:ascii="宋体" w:hAnsi="宋体" w:cs="宋体"/>
                <w:color w:val="auto"/>
                <w:kern w:val="0"/>
                <w:szCs w:val="21"/>
                <w:highlight w:val="none"/>
                <w:lang w:bidi="ar"/>
              </w:rPr>
              <w:t>）铁路供货业绩，</w:t>
            </w:r>
            <w:r>
              <w:rPr>
                <w:rFonts w:hint="eastAsia" w:ascii="宋体" w:hAnsi="宋体" w:eastAsia="宋体" w:cs="宋体"/>
                <w:color w:val="auto"/>
                <w:sz w:val="21"/>
                <w:szCs w:val="21"/>
                <w:highlight w:val="none"/>
                <w:lang w:bidi="ar"/>
              </w:rPr>
              <w:t>并提供相应的中标通知书、合同协议书、设备进场验收证书（或验收文件等）或用户使用证明</w:t>
            </w:r>
            <w:r>
              <w:rPr>
                <w:rFonts w:ascii="宋体" w:hAnsi="宋体" w:cs="宋体"/>
                <w:color w:val="auto"/>
                <w:sz w:val="21"/>
                <w:szCs w:val="21"/>
                <w:highlight w:val="none"/>
                <w:lang w:bidi="ar"/>
              </w:rPr>
              <w:t>。</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2024年12月</w:t>
            </w:r>
          </w:p>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至工程结束</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雄安动车所</w:t>
            </w:r>
          </w:p>
        </w:tc>
        <w:tc>
          <w:tcPr>
            <w:tcW w:w="11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货物完好，车板交货</w:t>
            </w:r>
          </w:p>
        </w:tc>
        <w:tc>
          <w:tcPr>
            <w:tcW w:w="9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bidi="ar"/>
              </w:rPr>
              <w:t>中铁六局雄安枢纽站前工程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项目部</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center"/>
              <w:rPr>
                <w:rFonts w:ascii="宋体" w:hAnsi="宋体" w:cs="宋体"/>
                <w:color w:val="auto"/>
                <w:szCs w:val="21"/>
                <w:highlight w:val="none"/>
              </w:rPr>
            </w:pPr>
          </w:p>
        </w:tc>
      </w:tr>
    </w:tbl>
    <w:p>
      <w:pPr>
        <w:pStyle w:val="3"/>
        <w:rPr>
          <w:lang w:bidi="en-US"/>
        </w:rPr>
      </w:pPr>
    </w:p>
    <w:p>
      <w:pPr>
        <w:pStyle w:val="3"/>
        <w:rPr>
          <w:lang w:bidi="en-US"/>
        </w:rPr>
      </w:pPr>
    </w:p>
    <w:p>
      <w:pPr>
        <w:pStyle w:val="3"/>
        <w:rPr>
          <w:lang w:bidi="en-US"/>
        </w:rPr>
        <w:sectPr>
          <w:footerReference r:id="rId6" w:type="first"/>
          <w:footerReference r:id="rId5" w:type="default"/>
          <w:pgSz w:w="16838" w:h="11906" w:orient="landscape"/>
          <w:pgMar w:top="907" w:right="907" w:bottom="907" w:left="907" w:header="851" w:footer="992" w:gutter="0"/>
          <w:cols w:space="425" w:num="1"/>
          <w:docGrid w:linePitch="312" w:charSpace="0"/>
        </w:sectPr>
      </w:pPr>
    </w:p>
    <w:p>
      <w:pPr>
        <w:pStyle w:val="9"/>
        <w:widowControl w:val="0"/>
        <w:spacing w:before="100" w:after="0" w:line="360" w:lineRule="auto"/>
        <w:jc w:val="both"/>
        <w:rPr>
          <w:rFonts w:ascii="Times New Roman" w:hAnsi="Times New Roman" w:eastAsia="宋体" w:cs="Times New Roman"/>
          <w:kern w:val="2"/>
          <w:sz w:val="28"/>
        </w:rPr>
      </w:pPr>
    </w:p>
    <w:p>
      <w:pPr>
        <w:pStyle w:val="9"/>
        <w:widowControl w:val="0"/>
        <w:spacing w:before="100" w:after="0" w:line="360" w:lineRule="auto"/>
        <w:jc w:val="both"/>
        <w:rPr>
          <w:rFonts w:ascii="Times New Roman" w:hAnsi="Times New Roman" w:eastAsia="宋体" w:cs="Times New Roman"/>
          <w:kern w:val="2"/>
          <w:sz w:val="28"/>
        </w:rPr>
      </w:pPr>
      <w:bookmarkStart w:id="1" w:name="_Toc14225"/>
      <w:r>
        <w:rPr>
          <w:rFonts w:ascii="Times New Roman" w:hAnsi="Times New Roman" w:eastAsia="宋体" w:cs="Times New Roman"/>
          <w:kern w:val="2"/>
          <w:sz w:val="28"/>
        </w:rPr>
        <w:t>附件</w:t>
      </w:r>
      <w:r>
        <w:rPr>
          <w:rFonts w:hint="eastAsia" w:ascii="Times New Roman" w:hAnsi="Times New Roman" w:eastAsia="宋体" w:cs="Times New Roman"/>
          <w:kern w:val="2"/>
          <w:sz w:val="28"/>
        </w:rPr>
        <w:t>2</w:t>
      </w:r>
      <w:r>
        <w:rPr>
          <w:rFonts w:ascii="Times New Roman" w:hAnsi="Times New Roman" w:eastAsia="宋体" w:cs="Times New Roman"/>
          <w:kern w:val="2"/>
          <w:sz w:val="28"/>
        </w:rPr>
        <w:t>：</w:t>
      </w:r>
      <w:r>
        <w:rPr>
          <w:rFonts w:hint="eastAsia" w:ascii="Times New Roman" w:hAnsi="Times New Roman" w:eastAsia="宋体" w:cs="Times New Roman"/>
          <w:kern w:val="2"/>
          <w:sz w:val="28"/>
        </w:rPr>
        <w:t>支付方式</w:t>
      </w:r>
      <w:bookmarkEnd w:id="1"/>
    </w:p>
    <w:p>
      <w:pPr>
        <w:widowControl/>
        <w:wordWrap w:val="0"/>
        <w:jc w:val="left"/>
        <w:rPr>
          <w:rFonts w:ascii="宋体" w:hAnsi="宋体" w:cs="宋体"/>
          <w:szCs w:val="21"/>
        </w:rPr>
      </w:pPr>
    </w:p>
    <w:p>
      <w:pPr>
        <w:widowControl/>
        <w:ind w:firstLine="420" w:firstLineChars="200"/>
        <w:jc w:val="left"/>
        <w:rPr>
          <w:rFonts w:ascii="宋体" w:hAnsi="宋体" w:cs="宋体"/>
          <w:szCs w:val="21"/>
        </w:rPr>
      </w:pPr>
      <w:r>
        <w:rPr>
          <w:rFonts w:cs="Times New Roman"/>
          <w:bCs/>
          <w:szCs w:val="21"/>
        </w:rPr>
        <w:t>招标文件每套售价</w:t>
      </w:r>
      <w:r>
        <w:rPr>
          <w:rFonts w:cs="Times New Roman"/>
          <w:szCs w:val="21"/>
          <w:u w:val="single"/>
        </w:rPr>
        <w:t xml:space="preserve">  </w:t>
      </w:r>
      <w:r>
        <w:rPr>
          <w:rFonts w:hint="eastAsia" w:cs="Times New Roman"/>
          <w:szCs w:val="21"/>
          <w:u w:val="single"/>
          <w:lang w:val="en-US" w:eastAsia="zh-CN"/>
        </w:rPr>
        <w:t>100</w:t>
      </w:r>
      <w:r>
        <w:rPr>
          <w:rFonts w:cs="Times New Roman"/>
          <w:szCs w:val="21"/>
          <w:u w:val="single"/>
        </w:rPr>
        <w:t xml:space="preserve">  </w:t>
      </w:r>
      <w:r>
        <w:rPr>
          <w:rFonts w:cs="Times New Roman"/>
          <w:bCs/>
          <w:szCs w:val="21"/>
        </w:rPr>
        <w:t>元，售后不退</w:t>
      </w:r>
      <w:r>
        <w:rPr>
          <w:rFonts w:hint="eastAsia" w:ascii="宋体" w:hAnsi="宋体" w:eastAsia="宋体" w:cs="宋体"/>
          <w:color w:val="333333"/>
          <w:sz w:val="21"/>
          <w:szCs w:val="21"/>
        </w:rPr>
        <w:t>。采用银行汇款方式将款项汇至账户名称</w:t>
      </w:r>
      <w:r>
        <w:rPr>
          <w:rFonts w:hint="eastAsia" w:ascii="宋体" w:hAnsi="宋体" w:cs="宋体"/>
          <w:color w:val="333333"/>
          <w:sz w:val="21"/>
          <w:szCs w:val="21"/>
          <w:u w:val="single"/>
          <w:lang w:val="en-US" w:eastAsia="zh-CN"/>
        </w:rPr>
        <w:t xml:space="preserve">  </w:t>
      </w:r>
      <w:r>
        <w:rPr>
          <w:rFonts w:hint="eastAsia" w:ascii="宋体" w:hAnsi="宋体" w:eastAsia="宋体" w:cs="宋体"/>
          <w:color w:val="333333"/>
          <w:sz w:val="21"/>
          <w:szCs w:val="21"/>
          <w:u w:val="single"/>
        </w:rPr>
        <w:t>中铁物总国际招标有限公司</w:t>
      </w:r>
      <w:r>
        <w:rPr>
          <w:rFonts w:hint="eastAsia" w:ascii="宋体" w:hAnsi="宋体" w:cs="宋体"/>
          <w:color w:val="333333"/>
          <w:sz w:val="21"/>
          <w:szCs w:val="21"/>
          <w:u w:val="single"/>
          <w:lang w:val="en-US" w:eastAsia="zh-CN"/>
        </w:rPr>
        <w:t xml:space="preserve">  </w:t>
      </w:r>
      <w:r>
        <w:rPr>
          <w:rFonts w:hint="eastAsia" w:ascii="宋体" w:hAnsi="宋体" w:eastAsia="宋体" w:cs="宋体"/>
          <w:color w:val="333333"/>
          <w:sz w:val="21"/>
          <w:szCs w:val="21"/>
        </w:rPr>
        <w:t>，账号：</w:t>
      </w:r>
      <w:r>
        <w:rPr>
          <w:rFonts w:hint="eastAsia" w:ascii="宋体" w:hAnsi="宋体" w:cs="宋体"/>
          <w:color w:val="333333"/>
          <w:sz w:val="21"/>
          <w:szCs w:val="21"/>
          <w:u w:val="single"/>
          <w:lang w:val="en-US" w:eastAsia="zh-CN"/>
        </w:rPr>
        <w:t xml:space="preserve">  </w:t>
      </w:r>
      <w:r>
        <w:rPr>
          <w:rFonts w:hint="eastAsia" w:eastAsia="宋体" w:cs="Times New Roman"/>
          <w:szCs w:val="21"/>
          <w:u w:val="single"/>
          <w:lang w:val="en-US" w:eastAsia="zh-CN"/>
        </w:rPr>
        <w:t>7005001</w:t>
      </w:r>
      <w:r>
        <w:rPr>
          <w:rFonts w:hint="eastAsia" w:ascii="宋体" w:hAnsi="宋体" w:eastAsia="宋体" w:cs="宋体"/>
          <w:color w:val="333333"/>
          <w:sz w:val="21"/>
          <w:szCs w:val="21"/>
          <w:u w:val="single"/>
        </w:rPr>
        <w:t xml:space="preserve"> </w:t>
      </w:r>
      <w:r>
        <w:rPr>
          <w:rFonts w:hint="eastAsia" w:ascii="宋体" w:hAnsi="宋体" w:cs="宋体"/>
          <w:color w:val="333333"/>
          <w:sz w:val="21"/>
          <w:szCs w:val="21"/>
          <w:u w:val="single"/>
          <w:lang w:val="en-US" w:eastAsia="zh-CN"/>
        </w:rPr>
        <w:t xml:space="preserve"> </w:t>
      </w:r>
      <w:r>
        <w:rPr>
          <w:rFonts w:hint="eastAsia" w:ascii="宋体" w:hAnsi="宋体" w:eastAsia="宋体" w:cs="宋体"/>
          <w:color w:val="333333"/>
          <w:sz w:val="21"/>
          <w:szCs w:val="21"/>
        </w:rPr>
        <w:t>，开户行：</w:t>
      </w:r>
      <w:r>
        <w:rPr>
          <w:rFonts w:hint="eastAsia" w:ascii="宋体" w:hAnsi="宋体" w:cs="宋体"/>
          <w:color w:val="333333"/>
          <w:sz w:val="21"/>
          <w:szCs w:val="21"/>
          <w:u w:val="single"/>
          <w:lang w:val="en-US" w:eastAsia="zh-CN"/>
        </w:rPr>
        <w:t xml:space="preserve">  </w:t>
      </w:r>
      <w:r>
        <w:rPr>
          <w:rFonts w:hint="eastAsia" w:ascii="宋体" w:hAnsi="宋体" w:eastAsia="宋体" w:cs="宋体"/>
          <w:color w:val="333333"/>
          <w:sz w:val="21"/>
          <w:szCs w:val="21"/>
          <w:u w:val="single"/>
        </w:rPr>
        <w:t>交通银行北京西单支行</w:t>
      </w:r>
      <w:r>
        <w:rPr>
          <w:rFonts w:hint="eastAsia" w:ascii="宋体" w:hAnsi="宋体" w:cs="宋体"/>
          <w:color w:val="333333"/>
          <w:sz w:val="21"/>
          <w:szCs w:val="21"/>
          <w:u w:val="single"/>
          <w:lang w:val="en-US" w:eastAsia="zh-CN"/>
        </w:rPr>
        <w:t xml:space="preserve">  </w:t>
      </w:r>
      <w:r>
        <w:rPr>
          <w:rFonts w:hint="eastAsia" w:ascii="宋体" w:hAnsi="宋体" w:eastAsia="宋体" w:cs="宋体"/>
          <w:color w:val="333333"/>
          <w:sz w:val="21"/>
          <w:szCs w:val="21"/>
        </w:rPr>
        <w:t>。请投标人确保在购买招标文件之前将上述费用汇到招标人指定账户。</w:t>
      </w:r>
      <w:r>
        <w:rPr>
          <w:rFonts w:hint="eastAsia" w:ascii="宋体" w:hAnsi="宋体" w:cs="宋体"/>
          <w:szCs w:val="21"/>
        </w:rPr>
        <w:t>完成相应包件支付后，将“支付成功”界面的截图作为缴费凭证，上传至北京工程建设公共资源交易平台（并将负责本项目的投标负责人和联系方式一并上传），通过北京工程建设公共资源交易平台下载招标文件（电子版）。</w:t>
      </w:r>
    </w:p>
    <w:p>
      <w:pPr>
        <w:widowControl/>
        <w:ind w:firstLine="420" w:firstLineChars="200"/>
        <w:jc w:val="left"/>
        <w:rPr>
          <w:rFonts w:ascii="宋体" w:hAnsi="宋体" w:cs="宋体"/>
          <w:szCs w:val="21"/>
        </w:rPr>
      </w:pPr>
      <w:r>
        <w:rPr>
          <w:rFonts w:hint="eastAsia" w:ascii="宋体" w:hAnsi="宋体" w:cs="宋体"/>
          <w:szCs w:val="21"/>
        </w:rPr>
        <w:t>购买招标文件成功后，投标人如不能按时递交投标文件或放弃投标的，请于递交投标文件截止时间前5日，出具放弃投标的书面说明（须加盖公章，注明不参加的项目和包件号），将扫描件发送至</w:t>
      </w:r>
      <w:r>
        <w:rPr>
          <w:rFonts w:hint="eastAsia" w:cs="Times New Roman"/>
          <w:szCs w:val="21"/>
          <w:u w:val="single"/>
        </w:rPr>
        <w:t>jnxgwzb@163.com</w:t>
      </w:r>
      <w:r>
        <w:rPr>
          <w:rFonts w:hint="eastAsia" w:ascii="宋体" w:hAnsi="宋体" w:cs="宋体"/>
          <w:szCs w:val="21"/>
        </w:rPr>
        <w:t>，并电话与代理机构联系人进行确认，</w:t>
      </w:r>
      <w:r>
        <w:rPr>
          <w:rFonts w:hint="eastAsia" w:ascii="宋体" w:hAnsi="宋体"/>
          <w:b/>
          <w:bCs/>
          <w:szCs w:val="21"/>
        </w:rPr>
        <w:t>否则将按中国国家铁路集团有限公司供应商信用评价管理办法对其进行评价。</w:t>
      </w:r>
    </w:p>
    <w:p>
      <w:pPr>
        <w:widowControl/>
        <w:ind w:firstLine="420" w:firstLineChars="200"/>
        <w:jc w:val="left"/>
        <w:rPr>
          <w:rFonts w:hint="eastAsia" w:ascii="宋体" w:hAnsi="宋体" w:eastAsia="宋体" w:cs="宋体"/>
          <w:szCs w:val="21"/>
          <w:lang w:eastAsia="zh-CN"/>
        </w:rPr>
      </w:pPr>
      <w:r>
        <w:rPr>
          <w:rFonts w:hint="eastAsia" w:ascii="宋体" w:hAnsi="宋体" w:cs="宋体"/>
          <w:szCs w:val="21"/>
        </w:rPr>
        <w:t>标书款发票</w:t>
      </w:r>
      <w:r>
        <w:rPr>
          <w:rFonts w:hint="eastAsia" w:ascii="宋体" w:hAnsi="宋体" w:cs="宋体"/>
          <w:szCs w:val="21"/>
          <w:lang w:eastAsia="zh-CN"/>
        </w:rPr>
        <w:t>联系人：刘宗凯，电话：</w:t>
      </w:r>
      <w:r>
        <w:rPr>
          <w:rFonts w:hint="eastAsia" w:ascii="宋体" w:hAnsi="宋体" w:cs="Times New Roman"/>
          <w:szCs w:val="21"/>
        </w:rPr>
        <w:t>15131159711</w:t>
      </w:r>
      <w:r>
        <w:rPr>
          <w:rFonts w:hint="eastAsia" w:ascii="宋体" w:hAnsi="宋体" w:cs="Times New Roman"/>
          <w:szCs w:val="21"/>
          <w:lang w:eastAsia="zh-CN"/>
        </w:rPr>
        <w:t>。</w:t>
      </w:r>
      <w:bookmarkStart w:id="2" w:name="_GoBack"/>
      <w:bookmarkEnd w:id="2"/>
    </w:p>
    <w:p>
      <w:pPr>
        <w:pStyle w:val="8"/>
        <w:widowControl w:val="0"/>
        <w:spacing w:before="120" w:after="120" w:line="360" w:lineRule="auto"/>
        <w:jc w:val="center"/>
        <w:rPr>
          <w:rFonts w:eastAsia="宋体" w:cstheme="minorBidi"/>
          <w:bCs w:val="0"/>
          <w:kern w:val="2"/>
          <w:sz w:val="32"/>
          <w:szCs w:val="22"/>
        </w:rPr>
      </w:pPr>
    </w:p>
    <w:p>
      <w:pPr>
        <w:rPr>
          <w:sz w:val="32"/>
        </w:rPr>
      </w:pPr>
    </w:p>
    <w:p>
      <w:pPr>
        <w:pStyle w:val="3"/>
      </w:pPr>
      <w:r>
        <w:rPr>
          <w:rFonts w:hint="eastAsia"/>
        </w:rPr>
        <w:t>代理机构：</w:t>
      </w:r>
    </w:p>
    <w:p>
      <w:r>
        <w:t>名  称：</w:t>
      </w:r>
      <w:r>
        <w:rPr>
          <w:rFonts w:hint="eastAsia" w:ascii="宋体" w:hAnsi="宋体" w:cs="Times New Roman"/>
          <w:szCs w:val="21"/>
        </w:rPr>
        <w:t>中铁物总国际招标有限公司</w:t>
      </w:r>
    </w:p>
    <w:p>
      <w:r>
        <w:t>地  址：</w:t>
      </w:r>
      <w:r>
        <w:rPr>
          <w:rFonts w:hint="eastAsia"/>
        </w:rPr>
        <w:t>北京市丰台区凤凰嘴街鼎兴大厦A座11层</w:t>
      </w:r>
    </w:p>
    <w:p>
      <w:r>
        <w:t>联系人：</w:t>
      </w:r>
      <w:r>
        <w:rPr>
          <w:rFonts w:hint="eastAsia"/>
        </w:rPr>
        <w:t>马宾、刘宗凯（缴费、开票有关）</w:t>
      </w:r>
    </w:p>
    <w:p>
      <w:pPr>
        <w:spacing w:line="276" w:lineRule="auto"/>
        <w:rPr>
          <w:rFonts w:hint="eastAsia" w:ascii="宋体" w:hAnsi="宋体" w:cs="Times New Roman"/>
          <w:color w:val="auto"/>
          <w:szCs w:val="21"/>
          <w:highlight w:val="none"/>
          <w:lang w:val="en-US" w:eastAsia="zh-CN"/>
        </w:rPr>
      </w:pPr>
      <w:r>
        <w:rPr>
          <w:rFonts w:hint="eastAsia" w:ascii="宋体" w:hAnsi="宋体" w:cs="Times New Roman"/>
          <w:szCs w:val="21"/>
        </w:rPr>
        <w:t>电  话：13483216139、15131159711</w:t>
      </w:r>
    </w:p>
    <w:sectPr>
      <w:footerReference r:id="rId7"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decorative"/>
    <w:pitch w:val="default"/>
    <w:sig w:usb0="A00002EF" w:usb1="4000207B" w:usb2="00000000" w:usb3="00000000" w:csb0="2000019F" w:csb1="00000000"/>
  </w:font>
  <w:font w:name="仿宋_GB2312">
    <w:panose1 w:val="02010609030101010101"/>
    <w:charset w:val="86"/>
    <w:family w:val="decorative"/>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10"/>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L3UTQAAAAAgEAAA8AAAAAAAAAAQAgAAAAIgAAAGRycy9kb3du&#10;cmV2LnhtbFBLAQIUABQAAAAIAIdO4kBOhpLrzgEAAJYDAAAOAAAAAAAAAAEAIAAAAB8BAABkcnMv&#10;ZTJvRG9jLnhtbFBLBQYAAAAABgAGAFkBAABfBQAAAAA=&#10;">
              <v:fill on="f" focussize="0,0"/>
              <v:stroke on="f"/>
              <v:imagedata o:title=""/>
              <o:lock v:ext="edit" aspectratio="f"/>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8</w:t>
                    </w:r>
                    <w:r>
                      <w:rPr>
                        <w:rFonts w:hint="eastAsia"/>
                        <w:sz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856BB"/>
    <w:rsid w:val="0AC94D9A"/>
    <w:rsid w:val="3957284E"/>
    <w:rsid w:val="44E86C19"/>
    <w:rsid w:val="4C754ED4"/>
    <w:rsid w:val="591664C3"/>
    <w:rsid w:val="6ACB6836"/>
    <w:rsid w:val="6CA11227"/>
    <w:rsid w:val="71041CF8"/>
    <w:rsid w:val="7DE108F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heme="minorBidi"/>
      <w:kern w:val="2"/>
      <w:sz w:val="21"/>
      <w:szCs w:val="22"/>
      <w:lang w:val="en-US" w:eastAsia="zh-CN" w:bidi="ar-SA"/>
    </w:rPr>
  </w:style>
  <w:style w:type="paragraph" w:styleId="8">
    <w:name w:val="heading 1"/>
    <w:basedOn w:val="1"/>
    <w:next w:val="1"/>
    <w:qFormat/>
    <w:uiPriority w:val="0"/>
    <w:pPr>
      <w:keepNext/>
      <w:keepLines/>
      <w:widowControl/>
      <w:spacing w:before="340" w:after="330" w:line="578" w:lineRule="auto"/>
      <w:jc w:val="left"/>
      <w:outlineLvl w:val="0"/>
    </w:pPr>
    <w:rPr>
      <w:rFonts w:cs="Times New Roman" w:eastAsiaTheme="minorEastAsia"/>
      <w:b/>
      <w:bCs/>
      <w:kern w:val="44"/>
      <w:sz w:val="44"/>
      <w:szCs w:val="44"/>
    </w:rPr>
  </w:style>
  <w:style w:type="paragraph" w:styleId="9">
    <w:name w:val="heading 2"/>
    <w:basedOn w:val="1"/>
    <w:next w:val="1"/>
    <w:unhideWhenUsed/>
    <w:qFormat/>
    <w:uiPriority w:val="0"/>
    <w:pPr>
      <w:keepNext/>
      <w:keepLines/>
      <w:widowControl/>
      <w:spacing w:before="260" w:after="260" w:line="416" w:lineRule="auto"/>
      <w:jc w:val="left"/>
      <w:outlineLvl w:val="1"/>
    </w:pPr>
    <w:rPr>
      <w:rFonts w:asciiTheme="majorHAnsi" w:hAnsiTheme="majorHAnsi" w:eastAsiaTheme="majorEastAsia" w:cstheme="majorBidi"/>
      <w:b/>
      <w:bCs/>
      <w:kern w:val="0"/>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lock Text"/>
    <w:basedOn w:val="1"/>
    <w:next w:val="3"/>
    <w:qFormat/>
    <w:uiPriority w:val="0"/>
    <w:pPr>
      <w:adjustRightInd w:val="0"/>
      <w:jc w:val="left"/>
      <w:textAlignment w:val="baseline"/>
    </w:pPr>
    <w:rPr>
      <w:color w:val="000000"/>
      <w:kern w:val="0"/>
      <w:lang w:eastAsia="en-US" w:bidi="en-US"/>
    </w:rPr>
  </w:style>
  <w:style w:type="paragraph" w:styleId="3">
    <w:name w:val="Body Text"/>
    <w:basedOn w:val="1"/>
    <w:next w:val="4"/>
    <w:qFormat/>
    <w:uiPriority w:val="0"/>
    <w:pPr>
      <w:widowControl/>
      <w:spacing w:after="120"/>
      <w:jc w:val="left"/>
    </w:pPr>
    <w:rPr>
      <w:rFonts w:cs="Times New Roman"/>
      <w:kern w:val="0"/>
    </w:rPr>
  </w:style>
  <w:style w:type="paragraph" w:customStyle="1" w:styleId="4">
    <w:name w:val="Default"/>
    <w:next w:val="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5">
    <w:name w:val="表格文字"/>
    <w:basedOn w:val="6"/>
    <w:next w:val="1"/>
    <w:qFormat/>
    <w:uiPriority w:val="0"/>
    <w:pPr>
      <w:spacing w:line="0" w:lineRule="atLeast"/>
      <w:jc w:val="center"/>
    </w:pPr>
    <w:rPr>
      <w:rFonts w:cs="Times New Roman"/>
    </w:r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0"/>
    <w:pPr>
      <w:snapToGrid w:val="0"/>
    </w:pPr>
    <w:rPr>
      <w:rFonts w:ascii="Arial" w:hAnsi="Arial"/>
    </w:rPr>
  </w:style>
  <w:style w:type="paragraph" w:styleId="10">
    <w:name w:val="footer"/>
    <w:basedOn w:val="1"/>
    <w:qFormat/>
    <w:uiPriority w:val="0"/>
    <w:pPr>
      <w:tabs>
        <w:tab w:val="center" w:pos="4153"/>
        <w:tab w:val="right" w:pos="8306"/>
      </w:tabs>
      <w:snapToGrid w:val="0"/>
      <w:spacing w:line="240" w:lineRule="auto"/>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Office_12.8.2.15292_F1E327BC-269C-435d-A152-05C5408002CA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2024-07-31T01:18:07Z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2052-12.8.2.15292</vt:lpwstr>
  </property>
  <property fmtid="{D5CDD505-2E9C-101B-9397-08002B2CF9AE}" pid="3" name="ICV">
    <vt:lpwstr>FA4991AE382E42FFBE81F172AC702186_12</vt:lpwstr>
  </property>
</Properties>
</file>